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28B32">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合肥市测绘设计研究院有限公司数据中心机房改扩建项目施工图设计（含造价）项目询价需求</w:t>
      </w:r>
    </w:p>
    <w:p w14:paraId="20337A57">
      <w:pPr>
        <w:jc w:val="center"/>
        <w:rPr>
          <w:rFonts w:ascii="方正小标宋简体" w:hAnsi="方正小标宋简体" w:eastAsia="方正小标宋简体" w:cs="方正小标宋简体"/>
          <w:sz w:val="44"/>
          <w:szCs w:val="44"/>
        </w:rPr>
      </w:pPr>
    </w:p>
    <w:p w14:paraId="7A3A43D6">
      <w:pPr>
        <w:rPr>
          <w:rFonts w:ascii="黑体" w:hAnsi="黑体" w:eastAsia="黑体" w:cs="黑体"/>
          <w:sz w:val="32"/>
          <w:szCs w:val="32"/>
        </w:rPr>
      </w:pPr>
      <w:r>
        <w:rPr>
          <w:rFonts w:hint="eastAsia" w:ascii="黑体" w:hAnsi="黑体" w:eastAsia="黑体" w:cs="黑体"/>
          <w:sz w:val="32"/>
          <w:szCs w:val="32"/>
        </w:rPr>
        <w:t>一、项目概况</w:t>
      </w:r>
    </w:p>
    <w:p w14:paraId="06C12EB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为提高公司数据中心机房的建设质量和运行效率，满足业务发展及信息化建设的需求，我单位决定进行数据中心机房的改扩建项目。现计划通过询价的方式选定设计单位，负责本项目的设计工作。具体要求如下：</w:t>
      </w:r>
    </w:p>
    <w:p w14:paraId="1CFBD54E">
      <w:pPr>
        <w:rPr>
          <w:rFonts w:ascii="仿宋_GB2312" w:hAnsi="仿宋_GB2312" w:eastAsia="仿宋_GB2312" w:cs="仿宋_GB2312"/>
          <w:sz w:val="30"/>
          <w:szCs w:val="30"/>
        </w:rPr>
      </w:pPr>
      <w:r>
        <w:rPr>
          <w:rFonts w:hint="eastAsia" w:ascii="黑体" w:hAnsi="黑体" w:eastAsia="黑体" w:cs="黑体"/>
          <w:sz w:val="32"/>
          <w:szCs w:val="32"/>
        </w:rPr>
        <w:t>二、项目目标</w:t>
      </w:r>
    </w:p>
    <w:p w14:paraId="38F77840">
      <w:pP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（一）机房设计目标：</w:t>
      </w:r>
    </w:p>
    <w:p w14:paraId="1B81AEA4">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1、按C级数据中心建设进行建设，在基础设施正常运行情况下，保证电子信息系统运行不中断。部分指标可参照B级要求。</w:t>
      </w:r>
    </w:p>
    <w:p w14:paraId="1DA51F6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2、提供符合行业标准、符合公司需求的机房设计方案，确保设备安装、运行、维护的便捷性、安全性与高效性。</w:t>
      </w:r>
    </w:p>
    <w:p w14:paraId="7D49BD75">
      <w:pP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（二）机房建设要求：</w:t>
      </w:r>
    </w:p>
    <w:p w14:paraId="7DCA339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1、按照C级机房标准（部分B级），根据公司现有的的基础设施和需求进行合理的机房设计，保证电力供应、空调系统、消防系统、网络系统、设备空间等的合理布局与高效运作。</w:t>
      </w:r>
    </w:p>
    <w:p w14:paraId="30AEDC2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2、确保建成后环境及相关设施满足二级等级保护测评的要求。</w:t>
      </w:r>
    </w:p>
    <w:p w14:paraId="2D81B21E">
      <w:pP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三</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完成时间要求：</w:t>
      </w:r>
    </w:p>
    <w:p w14:paraId="57E22530">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合同签订后10天内完成初步设计</w:t>
      </w:r>
      <w:r>
        <w:rPr>
          <w:rFonts w:hint="eastAsia" w:ascii="仿宋_GB2312" w:hAnsi="仿宋_GB2312" w:eastAsia="仿宋_GB2312" w:cs="仿宋_GB2312"/>
          <w:sz w:val="30"/>
          <w:szCs w:val="30"/>
          <w:lang w:val="en-US" w:eastAsia="zh-CN"/>
        </w:rPr>
        <w:t>方案</w:t>
      </w:r>
      <w:r>
        <w:rPr>
          <w:rFonts w:hint="eastAsia" w:ascii="仿宋_GB2312" w:hAnsi="仿宋_GB2312" w:eastAsia="仿宋_GB2312" w:cs="仿宋_GB2312"/>
          <w:sz w:val="30"/>
          <w:szCs w:val="30"/>
        </w:rPr>
        <w:t>、施工图编制</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工程量清单及投资概算，并在专家评审后5天内完成</w:t>
      </w:r>
      <w:r>
        <w:rPr>
          <w:rFonts w:hint="eastAsia" w:ascii="仿宋_GB2312" w:hAnsi="仿宋_GB2312" w:eastAsia="仿宋_GB2312" w:cs="仿宋_GB2312"/>
          <w:sz w:val="30"/>
          <w:szCs w:val="30"/>
          <w:lang w:val="en-US" w:eastAsia="zh-CN"/>
        </w:rPr>
        <w:t>修改</w:t>
      </w:r>
      <w:r>
        <w:rPr>
          <w:rFonts w:hint="eastAsia" w:ascii="仿宋_GB2312" w:hAnsi="仿宋_GB2312" w:eastAsia="仿宋_GB2312" w:cs="仿宋_GB2312"/>
          <w:sz w:val="30"/>
          <w:szCs w:val="30"/>
        </w:rPr>
        <w:t>。</w:t>
      </w:r>
    </w:p>
    <w:p w14:paraId="7C2D68D9">
      <w:pPr>
        <w:rPr>
          <w:rFonts w:ascii="仿宋_GB2312" w:hAnsi="仿宋_GB2312" w:eastAsia="仿宋_GB2312" w:cs="仿宋_GB2312"/>
          <w:sz w:val="30"/>
          <w:szCs w:val="30"/>
        </w:rPr>
      </w:pPr>
      <w:r>
        <w:rPr>
          <w:rFonts w:hint="eastAsia" w:ascii="黑体" w:hAnsi="黑体" w:eastAsia="黑体" w:cs="黑体"/>
          <w:sz w:val="32"/>
          <w:szCs w:val="32"/>
        </w:rPr>
        <w:t>三、设计任务与要求</w:t>
      </w:r>
    </w:p>
    <w:p w14:paraId="2C515EE5">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（一）机房布局设计</w:t>
      </w:r>
    </w:p>
    <w:p w14:paraId="614DF6F9">
      <w:pPr>
        <w:spacing w:line="360" w:lineRule="auto"/>
        <w:ind w:firstLine="600" w:firstLineChars="200"/>
        <w:rPr>
          <w:rFonts w:ascii="仿宋_GB2312" w:hAnsi="仿宋_GB2312" w:eastAsia="仿宋_GB2312" w:cs="仿宋_GB2312"/>
          <w:sz w:val="28"/>
          <w:szCs w:val="28"/>
        </w:rPr>
      </w:pPr>
      <w:r>
        <w:rPr>
          <w:rFonts w:hint="eastAsia" w:ascii="仿宋_GB2312" w:hAnsi="仿宋_GB2312" w:eastAsia="仿宋_GB2312" w:cs="仿宋_GB2312"/>
          <w:sz w:val="30"/>
          <w:szCs w:val="30"/>
        </w:rPr>
        <w:t>1、</w:t>
      </w:r>
      <w:r>
        <w:rPr>
          <w:rFonts w:hint="eastAsia" w:ascii="仿宋_GB2312" w:hAnsi="仿宋_GB2312" w:eastAsia="仿宋_GB2312" w:cs="仿宋_GB2312"/>
          <w:sz w:val="28"/>
          <w:szCs w:val="28"/>
        </w:rPr>
        <w:t>由主机房、屏蔽区、支持区、磁盘库房区（位于一楼）以及主控室（位于七楼）构成。此次设计建设总面积91平方米,包含主机房、屏蔽机房、电源室和磁盘库房。</w:t>
      </w:r>
    </w:p>
    <w:p w14:paraId="685CC405">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2、根据拟建机房空间和新设备需求，机房拟布设封闭冷风通道式柜组1组，含列头柜16台。要求设计合理的机房布局，确保设备的安装和维护方便、各区间的合理间隔。</w:t>
      </w:r>
    </w:p>
    <w:p w14:paraId="52CA5CC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3、设计机房内配电、通讯线路、空调、消防等设备的合理布置，确保设备的稳定运行。</w:t>
      </w:r>
    </w:p>
    <w:p w14:paraId="4E6D85C9">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 xml:space="preserve">（二）装饰装修设计 </w:t>
      </w:r>
      <w:r>
        <w:rPr>
          <w:rFonts w:ascii="仿宋_GB2312" w:hAnsi="仿宋_GB2312" w:eastAsia="仿宋_GB2312" w:cs="仿宋_GB2312"/>
          <w:b/>
          <w:bCs/>
          <w:sz w:val="30"/>
          <w:szCs w:val="30"/>
        </w:rPr>
        <w:t xml:space="preserve">   </w:t>
      </w:r>
    </w:p>
    <w:p w14:paraId="3C18B771">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1、机房地面装修应采用防静电、耐磨、易清洁的材料，如防静电地板等，确保机房的整洁和设备的稳定运行。 </w:t>
      </w:r>
    </w:p>
    <w:p w14:paraId="6654E9D0">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2、墙面装修应采用防火、防潮、吸音的材料，如矿棉板、吸音板等，以减少噪音对设备和工作人员的影响。 </w:t>
      </w:r>
    </w:p>
    <w:p w14:paraId="18B61B03">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3、吊顶装修应采用防火、隔热、吸音的材料，如轻钢龙骨吊顶等，以提高机房的隔热和隔音效果。 </w:t>
      </w:r>
    </w:p>
    <w:p w14:paraId="61B6848C">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4、照明系统设计应合理布置照明灯具，采用节能、无频闪的LED灯，确保机房内有足够的光照强度，同时满足节能要求。 </w:t>
      </w:r>
    </w:p>
    <w:p w14:paraId="4C622A58">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5、装修风格应简洁、大方，符合机房的功能定位和企业形象，营造一个专业、高效的工作环境。</w:t>
      </w:r>
    </w:p>
    <w:p w14:paraId="215F131B">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（三）电力系统设计</w:t>
      </w:r>
    </w:p>
    <w:p w14:paraId="05D423A1">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1、设计电力供应方案，保证机房设备的持续供电，包括但不限于UPS电源、配电柜等设备。</w:t>
      </w:r>
    </w:p>
    <w:p w14:paraId="3EE2D5AC">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2、电力系统必须满足机房负载需求，并留有扩展余地。</w:t>
      </w:r>
    </w:p>
    <w:p w14:paraId="6A2F111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3、提供电力系统冗余设计方案，确保系统稳定。</w:t>
      </w:r>
    </w:p>
    <w:p w14:paraId="5F9F8E18">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（四）空调系统设计</w:t>
      </w:r>
    </w:p>
    <w:p w14:paraId="73506901">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设计机房内空调系统，包括但不限于精密空调、冷气通道设计、冷热通道隔离等。</w:t>
      </w:r>
    </w:p>
    <w:p w14:paraId="29A1FE3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根据机房的规模和设备的热负荷要求设计适当的空调系统，包含主机房、电源室、屏蔽机房和磁盘库房的空调设计、确保机房内温湿度稳定。</w:t>
      </w:r>
    </w:p>
    <w:p w14:paraId="07C146ED">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（五）消防系统设计</w:t>
      </w:r>
    </w:p>
    <w:p w14:paraId="073B7537">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设计机房内的消防系统，包括气体灭火系统、烟雾报警器等消防设施。</w:t>
      </w:r>
    </w:p>
    <w:p w14:paraId="5151193A">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确保机房安全、无死角，消防设施齐全，并符合国家消防标准。</w:t>
      </w:r>
    </w:p>
    <w:p w14:paraId="182A5F32">
      <w:pPr>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（六）防雷系统设计</w:t>
      </w:r>
    </w:p>
    <w:p w14:paraId="3BF412FC">
      <w:pPr>
        <w:ind w:firstLine="600" w:firstLineChars="20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设计安全可靠的防雷接地系统，</w:t>
      </w:r>
      <w:r>
        <w:rPr>
          <w:rFonts w:hint="eastAsia" w:ascii="仿宋_GB2312" w:hAnsi="仿宋_GB2312" w:eastAsia="仿宋_GB2312" w:cs="仿宋_GB2312"/>
          <w:sz w:val="30"/>
          <w:szCs w:val="30"/>
        </w:rPr>
        <w:t>保护机房设备免受雷电及其他电力故障引起的过电压、过电流的影响。有效减少雷电对机房设备造成的损害，确保设备运行的稳定性和安全性。</w:t>
      </w:r>
    </w:p>
    <w:p w14:paraId="67568E3B">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w:t>
      </w:r>
      <w:r>
        <w:rPr>
          <w:rFonts w:hint="eastAsia" w:ascii="仿宋_GB2312" w:hAnsi="仿宋_GB2312" w:eastAsia="仿宋_GB2312" w:cs="仿宋_GB2312"/>
          <w:b/>
          <w:bCs/>
          <w:sz w:val="30"/>
          <w:szCs w:val="30"/>
          <w:lang w:val="en-US" w:eastAsia="zh-CN"/>
        </w:rPr>
        <w:t>七</w:t>
      </w:r>
      <w:r>
        <w:rPr>
          <w:rFonts w:hint="eastAsia" w:ascii="仿宋_GB2312" w:hAnsi="仿宋_GB2312" w:eastAsia="仿宋_GB2312" w:cs="仿宋_GB2312"/>
          <w:b/>
          <w:bCs/>
          <w:sz w:val="30"/>
          <w:szCs w:val="30"/>
        </w:rPr>
        <w:t xml:space="preserve">）安全与监控系统设计 </w:t>
      </w:r>
      <w:r>
        <w:rPr>
          <w:rFonts w:ascii="仿宋_GB2312" w:hAnsi="仿宋_GB2312" w:eastAsia="仿宋_GB2312" w:cs="仿宋_GB2312"/>
          <w:b/>
          <w:bCs/>
          <w:sz w:val="30"/>
          <w:szCs w:val="30"/>
        </w:rPr>
        <w:t xml:space="preserve"> </w:t>
      </w:r>
    </w:p>
    <w:p w14:paraId="24FF3C13">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1、设计机房内的安全监控系统，包括门禁、视频监控、入侵报警等设施。</w:t>
      </w:r>
    </w:p>
    <w:p w14:paraId="33E88AA7">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确保机房的物理安全与信息安全，预防潜在的安全隐患。</w:t>
      </w:r>
    </w:p>
    <w:p w14:paraId="651F2568">
      <w:pPr>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2、</w:t>
      </w:r>
      <w:r>
        <w:rPr>
          <w:rFonts w:hint="eastAsia" w:ascii="仿宋_GB2312" w:hAnsi="仿宋_GB2312" w:eastAsia="仿宋_GB2312" w:cs="仿宋_GB2312"/>
          <w:sz w:val="30"/>
          <w:szCs w:val="30"/>
        </w:rPr>
        <w:t>设计机房动态环境监控系统，包括温湿度监控、漏水监控、电力监控等。</w:t>
      </w:r>
    </w:p>
    <w:p w14:paraId="1D106A63">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提供远程监控解决方案，确保机房的24小时环境安全。</w:t>
      </w:r>
    </w:p>
    <w:p w14:paraId="6919FA37">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w:t>
      </w:r>
      <w:r>
        <w:rPr>
          <w:rFonts w:hint="eastAsia" w:ascii="仿宋_GB2312" w:hAnsi="仿宋_GB2312" w:eastAsia="仿宋_GB2312" w:cs="仿宋_GB2312"/>
          <w:b/>
          <w:bCs/>
          <w:sz w:val="30"/>
          <w:szCs w:val="30"/>
          <w:lang w:val="en-US" w:eastAsia="zh-CN"/>
        </w:rPr>
        <w:t>八</w:t>
      </w:r>
      <w:r>
        <w:rPr>
          <w:rFonts w:hint="eastAsia" w:ascii="仿宋_GB2312" w:hAnsi="仿宋_GB2312" w:eastAsia="仿宋_GB2312" w:cs="仿宋_GB2312"/>
          <w:b/>
          <w:bCs/>
          <w:sz w:val="30"/>
          <w:szCs w:val="30"/>
        </w:rPr>
        <w:t>）节能与可持续性设计</w:t>
      </w:r>
    </w:p>
    <w:p w14:paraId="7360175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设计应考虑节能降耗，使用符合国家节能标准的设备和技术。</w:t>
      </w:r>
    </w:p>
    <w:p w14:paraId="344A1FE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提供节能技术的应用方案，如封闭冷风通道式柜组、变频空调、LED照明等。</w:t>
      </w:r>
    </w:p>
    <w:p w14:paraId="5775A4DF">
      <w:pPr>
        <w:rPr>
          <w:rFonts w:ascii="仿宋_GB2312" w:hAnsi="仿宋_GB2312" w:eastAsia="仿宋_GB2312" w:cs="仿宋_GB2312"/>
          <w:sz w:val="30"/>
          <w:szCs w:val="30"/>
        </w:rPr>
      </w:pPr>
      <w:r>
        <w:rPr>
          <w:rFonts w:hint="eastAsia" w:ascii="仿宋_GB2312" w:hAnsi="仿宋_GB2312" w:eastAsia="仿宋_GB2312" w:cs="仿宋_GB2312"/>
          <w:b/>
          <w:bCs/>
          <w:sz w:val="30"/>
          <w:szCs w:val="30"/>
        </w:rPr>
        <w:t>（</w:t>
      </w:r>
      <w:r>
        <w:rPr>
          <w:rFonts w:hint="eastAsia" w:ascii="仿宋_GB2312" w:hAnsi="仿宋_GB2312" w:eastAsia="仿宋_GB2312" w:cs="仿宋_GB2312"/>
          <w:b/>
          <w:bCs/>
          <w:sz w:val="30"/>
          <w:szCs w:val="30"/>
          <w:lang w:val="en-US" w:eastAsia="zh-CN"/>
        </w:rPr>
        <w:t>九</w:t>
      </w:r>
      <w:r>
        <w:rPr>
          <w:rFonts w:hint="eastAsia" w:ascii="仿宋_GB2312" w:hAnsi="仿宋_GB2312" w:eastAsia="仿宋_GB2312" w:cs="仿宋_GB2312"/>
          <w:b/>
          <w:bCs/>
          <w:sz w:val="30"/>
          <w:szCs w:val="30"/>
        </w:rPr>
        <w:t>）综合布线及网络系统设计</w:t>
      </w:r>
    </w:p>
    <w:p w14:paraId="4824B0D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1、设计机房的网络系统架构，确保信息传输的稳定性和安全性</w:t>
      </w:r>
      <w:r>
        <w:rPr>
          <w:rFonts w:hint="eastAsia" w:ascii="仿宋_GB2312" w:hAnsi="仿宋_GB2312" w:eastAsia="仿宋_GB2312" w:cs="仿宋_GB2312"/>
          <w:sz w:val="30"/>
          <w:szCs w:val="30"/>
          <w:lang w:val="en-US" w:eastAsia="zh-CN"/>
        </w:rPr>
        <w:t>及后期的扩充性</w:t>
      </w:r>
      <w:r>
        <w:rPr>
          <w:rFonts w:hint="eastAsia" w:ascii="仿宋_GB2312" w:hAnsi="仿宋_GB2312" w:eastAsia="仿宋_GB2312" w:cs="仿宋_GB2312"/>
          <w:sz w:val="30"/>
          <w:szCs w:val="30"/>
        </w:rPr>
        <w:t>。</w:t>
      </w:r>
    </w:p>
    <w:p w14:paraId="7F29ACDF">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提供包括机房内布线、机柜、光纤连接等方面的网络布置设计方案。</w:t>
      </w:r>
    </w:p>
    <w:p w14:paraId="39AEE3C6">
      <w:pPr>
        <w:numPr>
          <w:ilvl w:val="0"/>
          <w:numId w:val="1"/>
        </w:num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设计时考虑新建机房与原有的网络环境无缝对接、服务器和核心交换机的搬迁以及主干网的光纤改造。</w:t>
      </w:r>
    </w:p>
    <w:p w14:paraId="33B22869">
      <w:pPr>
        <w:rPr>
          <w:rFonts w:ascii="黑体" w:hAnsi="黑体" w:eastAsia="黑体" w:cs="黑体"/>
          <w:sz w:val="32"/>
          <w:szCs w:val="32"/>
        </w:rPr>
      </w:pPr>
      <w:r>
        <w:rPr>
          <w:rFonts w:hint="eastAsia" w:ascii="黑体" w:hAnsi="黑体" w:eastAsia="黑体" w:cs="黑体"/>
          <w:sz w:val="32"/>
          <w:szCs w:val="32"/>
        </w:rPr>
        <w:t>四、设计单位资格要求</w:t>
      </w:r>
    </w:p>
    <w:p w14:paraId="1C2D5769">
      <w:pPr>
        <w:shd w:val="clear" w:color="auto" w:fill="FFFFFF"/>
        <w:adjustRightInd w:val="0"/>
        <w:snapToGrid w:val="0"/>
        <w:spacing w:line="360" w:lineRule="auto"/>
        <w:outlineLvl w:val="2"/>
        <w:rPr>
          <w:rFonts w:ascii="仿宋_GB2312" w:eastAsia="仿宋_GB2312" w:hAnsiTheme="minorEastAsia"/>
          <w:sz w:val="28"/>
          <w:szCs w:val="28"/>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一</w:t>
      </w:r>
      <w:r>
        <w:rPr>
          <w:rFonts w:hint="eastAsia" w:ascii="仿宋_GB2312" w:hAnsi="仿宋_GB2312" w:eastAsia="仿宋_GB2312" w:cs="仿宋_GB2312"/>
          <w:b/>
          <w:bCs/>
          <w:sz w:val="30"/>
          <w:szCs w:val="30"/>
          <w:lang w:eastAsia="zh-CN"/>
        </w:rPr>
        <w:t>）</w:t>
      </w:r>
      <w:r>
        <w:rPr>
          <w:rFonts w:hint="eastAsia" w:ascii="仿宋_GB2312" w:eastAsia="仿宋_GB2312" w:hAnsiTheme="minorEastAsia"/>
          <w:b/>
          <w:bCs/>
          <w:sz w:val="28"/>
          <w:szCs w:val="28"/>
          <w:shd w:val="clear" w:color="auto" w:fill="FFFFFF"/>
        </w:rPr>
        <w:t>资质要求</w:t>
      </w:r>
    </w:p>
    <w:p w14:paraId="2490686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具有工程设计综合乙级及以上资质或具有建筑智能化系统设计专项乙级及以上资质。</w:t>
      </w:r>
    </w:p>
    <w:p w14:paraId="4AB1DA84">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二</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人员要求</w:t>
      </w:r>
    </w:p>
    <w:p w14:paraId="08B1BBD0">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项目负责人具有注册咨询工程师（电子、信息工程）或注册一级建造工程师（通信与广电工程）或注册电气工程师资质证书。并具备电子信息中级及以上职称。</w:t>
      </w:r>
    </w:p>
    <w:p w14:paraId="6161057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其他设计人员需至少具备机房设计、施工、项目管理相关领域的中级及以上职称，以及相关设计经验。并具备电气、造价、信息安全等</w:t>
      </w:r>
      <w:bookmarkStart w:id="0" w:name="OLE_LINK5"/>
      <w:bookmarkStart w:id="1" w:name="OLE_LINK6"/>
      <w:r>
        <w:rPr>
          <w:rFonts w:hint="eastAsia" w:ascii="仿宋_GB2312" w:hAnsi="仿宋_GB2312" w:eastAsia="仿宋_GB2312" w:cs="仿宋_GB2312"/>
          <w:sz w:val="30"/>
          <w:szCs w:val="30"/>
        </w:rPr>
        <w:t>执业资格证书</w:t>
      </w:r>
      <w:bookmarkEnd w:id="0"/>
      <w:bookmarkEnd w:id="1"/>
      <w:r>
        <w:rPr>
          <w:rFonts w:hint="eastAsia" w:ascii="仿宋_GB2312" w:hAnsi="仿宋_GB2312" w:eastAsia="仿宋_GB2312" w:cs="仿宋_GB2312"/>
          <w:sz w:val="30"/>
          <w:szCs w:val="30"/>
        </w:rPr>
        <w:t>。</w:t>
      </w:r>
    </w:p>
    <w:p w14:paraId="6D2ED176">
      <w:pPr>
        <w:rPr>
          <w:rFonts w:ascii="仿宋_GB2312" w:hAnsi="仿宋_GB2312" w:eastAsia="仿宋_GB2312" w:cs="仿宋_GB2312"/>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三</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业绩要求</w:t>
      </w:r>
    </w:p>
    <w:p w14:paraId="278AB1D7">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供应商提供近三年内，已完成的类似项目设计业绩，特别是数据中心机房设计相关项目的业绩（设计费用超过5万元及以上的同类项目，投标时提供合同复印件）。</w:t>
      </w:r>
    </w:p>
    <w:p w14:paraId="7F154E99">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项目负责人至少承担过一次自2022年4月1日（含）以来已完成的类似机房或数据中心类设计项目的业绩（设计费用超过5万元及以上的同类项目，投标时提供合同复印件）。</w:t>
      </w:r>
    </w:p>
    <w:p w14:paraId="4D25D16E">
      <w:pPr>
        <w:rPr>
          <w:rFonts w:ascii="黑体" w:hAnsi="黑体" w:eastAsia="黑体" w:cs="黑体"/>
          <w:sz w:val="32"/>
          <w:szCs w:val="32"/>
        </w:rPr>
      </w:pPr>
      <w:r>
        <w:rPr>
          <w:rFonts w:hint="eastAsia" w:ascii="黑体" w:hAnsi="黑体" w:eastAsia="黑体" w:cs="黑体"/>
          <w:sz w:val="32"/>
          <w:szCs w:val="32"/>
        </w:rPr>
        <w:t>五、设计深度要求</w:t>
      </w:r>
    </w:p>
    <w:p w14:paraId="1EC844FC">
      <w:pPr>
        <w:ind w:firstLine="600" w:firstLineChars="200"/>
      </w:pPr>
      <w:r>
        <w:rPr>
          <w:rFonts w:hint="eastAsia" w:ascii="仿宋_GB2312" w:hAnsi="仿宋_GB2312" w:eastAsia="仿宋_GB2312" w:cs="仿宋_GB2312"/>
          <w:sz w:val="30"/>
          <w:szCs w:val="30"/>
        </w:rPr>
        <w:t>设计人所完成的图纸设计的深度应满足中华人民共和国建设部颁发的《建筑工程设计文件编制深度规定》（2016年版）的规定。</w:t>
      </w:r>
    </w:p>
    <w:p w14:paraId="550AE38F">
      <w:pPr>
        <w:rPr>
          <w:rFonts w:ascii="黑体" w:hAnsi="黑体" w:eastAsia="黑体" w:cs="黑体"/>
          <w:sz w:val="32"/>
          <w:szCs w:val="32"/>
        </w:rPr>
      </w:pPr>
      <w:r>
        <w:rPr>
          <w:rFonts w:hint="eastAsia" w:ascii="黑体" w:hAnsi="黑体" w:eastAsia="黑体" w:cs="黑体"/>
          <w:sz w:val="32"/>
          <w:szCs w:val="32"/>
        </w:rPr>
        <w:t>六、设计成果要求</w:t>
      </w:r>
    </w:p>
    <w:tbl>
      <w:tblPr>
        <w:tblStyle w:val="8"/>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3009"/>
        <w:gridCol w:w="2045"/>
        <w:gridCol w:w="2458"/>
      </w:tblGrid>
      <w:tr w14:paraId="5F5A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466B00E0">
            <w:pPr>
              <w:spacing w:line="600" w:lineRule="exact"/>
              <w:jc w:val="center"/>
              <w:rPr>
                <w:rFonts w:ascii="仿宋_GB2312" w:eastAsia="仿宋_GB2312"/>
                <w:sz w:val="28"/>
                <w:szCs w:val="28"/>
              </w:rPr>
            </w:pPr>
            <w:r>
              <w:rPr>
                <w:rFonts w:hint="eastAsia" w:ascii="仿宋_GB2312" w:eastAsia="仿宋_GB2312"/>
                <w:sz w:val="28"/>
                <w:szCs w:val="28"/>
              </w:rPr>
              <w:t>序号</w:t>
            </w:r>
          </w:p>
        </w:tc>
        <w:tc>
          <w:tcPr>
            <w:tcW w:w="3009" w:type="dxa"/>
            <w:vAlign w:val="center"/>
          </w:tcPr>
          <w:p w14:paraId="7359E6B1">
            <w:pPr>
              <w:spacing w:line="600" w:lineRule="exact"/>
              <w:jc w:val="center"/>
              <w:rPr>
                <w:rFonts w:ascii="仿宋_GB2312" w:eastAsia="仿宋_GB2312"/>
                <w:sz w:val="28"/>
                <w:szCs w:val="28"/>
              </w:rPr>
            </w:pPr>
            <w:r>
              <w:rPr>
                <w:rFonts w:hint="eastAsia" w:ascii="仿宋_GB2312" w:eastAsia="仿宋_GB2312"/>
                <w:sz w:val="28"/>
                <w:szCs w:val="28"/>
              </w:rPr>
              <w:t>交付成果名称</w:t>
            </w:r>
          </w:p>
        </w:tc>
        <w:tc>
          <w:tcPr>
            <w:tcW w:w="2045" w:type="dxa"/>
            <w:vAlign w:val="center"/>
          </w:tcPr>
          <w:p w14:paraId="385FAFEF">
            <w:pPr>
              <w:spacing w:line="600" w:lineRule="exact"/>
              <w:ind w:firstLine="140" w:firstLineChars="50"/>
              <w:jc w:val="center"/>
              <w:rPr>
                <w:rFonts w:ascii="仿宋_GB2312" w:eastAsia="仿宋_GB2312"/>
                <w:sz w:val="28"/>
                <w:szCs w:val="28"/>
              </w:rPr>
            </w:pPr>
            <w:r>
              <w:rPr>
                <w:rFonts w:hint="eastAsia" w:ascii="仿宋_GB2312" w:eastAsia="仿宋_GB2312"/>
                <w:sz w:val="28"/>
                <w:szCs w:val="28"/>
              </w:rPr>
              <w:t>交付成果数量</w:t>
            </w:r>
          </w:p>
        </w:tc>
        <w:tc>
          <w:tcPr>
            <w:tcW w:w="2458" w:type="dxa"/>
            <w:vAlign w:val="center"/>
          </w:tcPr>
          <w:p w14:paraId="03481287">
            <w:pPr>
              <w:spacing w:line="600" w:lineRule="exact"/>
              <w:jc w:val="center"/>
              <w:rPr>
                <w:rFonts w:ascii="仿宋_GB2312" w:eastAsia="仿宋_GB2312"/>
                <w:sz w:val="28"/>
                <w:szCs w:val="28"/>
              </w:rPr>
            </w:pPr>
            <w:r>
              <w:rPr>
                <w:rFonts w:hint="eastAsia" w:ascii="仿宋_GB2312" w:eastAsia="仿宋_GB2312"/>
                <w:sz w:val="28"/>
                <w:szCs w:val="28"/>
              </w:rPr>
              <w:t>备注</w:t>
            </w:r>
          </w:p>
        </w:tc>
      </w:tr>
      <w:tr w14:paraId="052E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6A7751D1">
            <w:pPr>
              <w:spacing w:line="600" w:lineRule="exact"/>
              <w:jc w:val="center"/>
              <w:rPr>
                <w:rFonts w:ascii="仿宋_GB2312" w:eastAsia="仿宋_GB2312"/>
                <w:sz w:val="28"/>
                <w:szCs w:val="28"/>
              </w:rPr>
            </w:pPr>
            <w:r>
              <w:rPr>
                <w:rFonts w:hint="eastAsia" w:ascii="仿宋_GB2312" w:eastAsia="仿宋_GB2312"/>
                <w:sz w:val="28"/>
                <w:szCs w:val="28"/>
              </w:rPr>
              <w:t>1</w:t>
            </w:r>
          </w:p>
        </w:tc>
        <w:tc>
          <w:tcPr>
            <w:tcW w:w="3009" w:type="dxa"/>
            <w:vAlign w:val="center"/>
          </w:tcPr>
          <w:p w14:paraId="44B8DD43">
            <w:pPr>
              <w:spacing w:line="600" w:lineRule="exact"/>
              <w:jc w:val="center"/>
              <w:rPr>
                <w:rFonts w:ascii="仿宋_GB2312" w:eastAsia="仿宋_GB2312"/>
                <w:sz w:val="28"/>
                <w:szCs w:val="28"/>
              </w:rPr>
            </w:pPr>
            <w:r>
              <w:rPr>
                <w:rFonts w:hint="eastAsia" w:ascii="仿宋_GB2312" w:eastAsia="仿宋_GB2312"/>
                <w:sz w:val="28"/>
                <w:szCs w:val="28"/>
              </w:rPr>
              <w:t>设计方案</w:t>
            </w:r>
          </w:p>
        </w:tc>
        <w:tc>
          <w:tcPr>
            <w:tcW w:w="2045" w:type="dxa"/>
            <w:vAlign w:val="center"/>
          </w:tcPr>
          <w:p w14:paraId="5D5E2AA6">
            <w:pPr>
              <w:spacing w:line="600" w:lineRule="exact"/>
              <w:jc w:val="center"/>
              <w:rPr>
                <w:rFonts w:ascii="仿宋_GB2312" w:eastAsia="仿宋_GB2312"/>
                <w:sz w:val="28"/>
                <w:szCs w:val="28"/>
              </w:rPr>
            </w:pPr>
            <w:r>
              <w:rPr>
                <w:rFonts w:hint="eastAsia" w:ascii="仿宋_GB2312" w:eastAsia="仿宋_GB2312"/>
                <w:sz w:val="28"/>
                <w:szCs w:val="28"/>
              </w:rPr>
              <w:t>1套</w:t>
            </w:r>
          </w:p>
        </w:tc>
        <w:tc>
          <w:tcPr>
            <w:tcW w:w="2458" w:type="dxa"/>
            <w:vAlign w:val="center"/>
          </w:tcPr>
          <w:p w14:paraId="63D8FEDF">
            <w:pPr>
              <w:spacing w:line="600" w:lineRule="exact"/>
              <w:jc w:val="center"/>
              <w:rPr>
                <w:rFonts w:ascii="仿宋_GB2312" w:eastAsia="仿宋_GB2312"/>
                <w:sz w:val="28"/>
                <w:szCs w:val="28"/>
              </w:rPr>
            </w:pPr>
            <w:r>
              <w:rPr>
                <w:rFonts w:hint="eastAsia" w:ascii="仿宋_GB2312" w:eastAsia="仿宋_GB2312"/>
                <w:sz w:val="28"/>
                <w:szCs w:val="28"/>
              </w:rPr>
              <w:t>纸质版及电子版</w:t>
            </w:r>
          </w:p>
        </w:tc>
      </w:tr>
      <w:tr w14:paraId="4B49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5A745CD7">
            <w:pPr>
              <w:spacing w:line="600" w:lineRule="exact"/>
              <w:jc w:val="center"/>
              <w:rPr>
                <w:rFonts w:ascii="仿宋_GB2312" w:eastAsia="仿宋_GB2312"/>
                <w:sz w:val="28"/>
                <w:szCs w:val="28"/>
              </w:rPr>
            </w:pPr>
            <w:r>
              <w:rPr>
                <w:rFonts w:hint="eastAsia" w:ascii="仿宋_GB2312" w:eastAsia="仿宋_GB2312"/>
                <w:sz w:val="28"/>
                <w:szCs w:val="28"/>
              </w:rPr>
              <w:t>2</w:t>
            </w:r>
          </w:p>
        </w:tc>
        <w:tc>
          <w:tcPr>
            <w:tcW w:w="3009" w:type="dxa"/>
            <w:vAlign w:val="center"/>
          </w:tcPr>
          <w:p w14:paraId="7A875B1B">
            <w:pPr>
              <w:spacing w:line="600" w:lineRule="exact"/>
              <w:jc w:val="center"/>
              <w:rPr>
                <w:rFonts w:ascii="仿宋_GB2312" w:eastAsia="仿宋_GB2312"/>
                <w:sz w:val="28"/>
                <w:szCs w:val="28"/>
              </w:rPr>
            </w:pPr>
            <w:r>
              <w:rPr>
                <w:rFonts w:hint="eastAsia" w:ascii="仿宋_GB2312" w:eastAsia="仿宋_GB2312"/>
                <w:sz w:val="28"/>
                <w:szCs w:val="28"/>
              </w:rPr>
              <w:t>施工图</w:t>
            </w:r>
          </w:p>
        </w:tc>
        <w:tc>
          <w:tcPr>
            <w:tcW w:w="2045" w:type="dxa"/>
            <w:vAlign w:val="center"/>
          </w:tcPr>
          <w:p w14:paraId="457A5B6D">
            <w:pPr>
              <w:spacing w:line="600" w:lineRule="exact"/>
              <w:jc w:val="center"/>
              <w:rPr>
                <w:rFonts w:ascii="仿宋_GB2312" w:eastAsia="仿宋_GB2312"/>
                <w:sz w:val="28"/>
                <w:szCs w:val="28"/>
              </w:rPr>
            </w:pPr>
            <w:r>
              <w:rPr>
                <w:rFonts w:hint="eastAsia" w:ascii="仿宋_GB2312" w:eastAsia="仿宋_GB2312"/>
                <w:sz w:val="28"/>
                <w:szCs w:val="28"/>
              </w:rPr>
              <w:t>1套</w:t>
            </w:r>
          </w:p>
        </w:tc>
        <w:tc>
          <w:tcPr>
            <w:tcW w:w="2458" w:type="dxa"/>
            <w:vAlign w:val="center"/>
          </w:tcPr>
          <w:p w14:paraId="3787C12B">
            <w:pPr>
              <w:spacing w:line="600" w:lineRule="exact"/>
              <w:jc w:val="center"/>
              <w:rPr>
                <w:rFonts w:ascii="仿宋_GB2312" w:eastAsia="仿宋_GB2312"/>
                <w:sz w:val="28"/>
                <w:szCs w:val="28"/>
              </w:rPr>
            </w:pPr>
            <w:r>
              <w:rPr>
                <w:rFonts w:hint="eastAsia" w:ascii="仿宋_GB2312" w:eastAsia="仿宋_GB2312"/>
                <w:sz w:val="28"/>
                <w:szCs w:val="28"/>
              </w:rPr>
              <w:t>纸质版及电子版</w:t>
            </w:r>
          </w:p>
        </w:tc>
      </w:tr>
      <w:tr w14:paraId="3722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613E96E5">
            <w:pPr>
              <w:spacing w:line="600" w:lineRule="exact"/>
              <w:jc w:val="center"/>
              <w:rPr>
                <w:rFonts w:ascii="仿宋_GB2312" w:eastAsia="仿宋_GB2312"/>
                <w:sz w:val="28"/>
                <w:szCs w:val="28"/>
              </w:rPr>
            </w:pPr>
            <w:r>
              <w:rPr>
                <w:rFonts w:hint="eastAsia" w:ascii="仿宋_GB2312" w:eastAsia="仿宋_GB2312"/>
                <w:sz w:val="28"/>
                <w:szCs w:val="28"/>
              </w:rPr>
              <w:t>3</w:t>
            </w:r>
          </w:p>
        </w:tc>
        <w:tc>
          <w:tcPr>
            <w:tcW w:w="3009" w:type="dxa"/>
            <w:vAlign w:val="center"/>
          </w:tcPr>
          <w:p w14:paraId="1322A57C">
            <w:pPr>
              <w:spacing w:line="600" w:lineRule="exact"/>
              <w:jc w:val="center"/>
              <w:rPr>
                <w:rFonts w:ascii="仿宋_GB2312" w:eastAsia="仿宋_GB2312"/>
                <w:sz w:val="28"/>
                <w:szCs w:val="28"/>
              </w:rPr>
            </w:pPr>
            <w:r>
              <w:rPr>
                <w:rFonts w:hint="eastAsia" w:ascii="仿宋_GB2312" w:eastAsia="仿宋_GB2312"/>
                <w:sz w:val="28"/>
                <w:szCs w:val="28"/>
              </w:rPr>
              <w:t>工程量清单</w:t>
            </w:r>
          </w:p>
        </w:tc>
        <w:tc>
          <w:tcPr>
            <w:tcW w:w="2045" w:type="dxa"/>
            <w:shd w:val="clear" w:color="auto" w:fill="auto"/>
            <w:vAlign w:val="center"/>
          </w:tcPr>
          <w:p w14:paraId="27256716">
            <w:pPr>
              <w:spacing w:line="600" w:lineRule="exact"/>
              <w:jc w:val="center"/>
              <w:rPr>
                <w:rFonts w:ascii="仿宋_GB2312" w:eastAsia="仿宋_GB2312"/>
                <w:sz w:val="28"/>
                <w:szCs w:val="28"/>
              </w:rPr>
            </w:pPr>
            <w:r>
              <w:rPr>
                <w:rFonts w:hint="eastAsia" w:ascii="仿宋_GB2312" w:eastAsia="仿宋_GB2312"/>
                <w:sz w:val="28"/>
                <w:szCs w:val="28"/>
              </w:rPr>
              <w:t>1套</w:t>
            </w:r>
          </w:p>
        </w:tc>
        <w:tc>
          <w:tcPr>
            <w:tcW w:w="2458" w:type="dxa"/>
            <w:shd w:val="clear" w:color="auto" w:fill="auto"/>
            <w:vAlign w:val="center"/>
          </w:tcPr>
          <w:p w14:paraId="3215A75A">
            <w:pPr>
              <w:spacing w:line="600" w:lineRule="exact"/>
              <w:jc w:val="center"/>
              <w:rPr>
                <w:rFonts w:ascii="仿宋_GB2312" w:eastAsia="仿宋_GB2312"/>
                <w:sz w:val="28"/>
                <w:szCs w:val="28"/>
              </w:rPr>
            </w:pPr>
            <w:r>
              <w:rPr>
                <w:rFonts w:hint="eastAsia" w:ascii="仿宋_GB2312" w:eastAsia="仿宋_GB2312"/>
                <w:sz w:val="28"/>
                <w:szCs w:val="28"/>
              </w:rPr>
              <w:t>纸质版及电子版</w:t>
            </w:r>
          </w:p>
        </w:tc>
      </w:tr>
      <w:tr w14:paraId="2671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99" w:type="dxa"/>
            <w:vAlign w:val="center"/>
          </w:tcPr>
          <w:p w14:paraId="406B8A7D">
            <w:pPr>
              <w:spacing w:line="600" w:lineRule="exact"/>
              <w:jc w:val="center"/>
              <w:rPr>
                <w:rFonts w:ascii="仿宋_GB2312" w:eastAsia="仿宋_GB2312"/>
                <w:sz w:val="28"/>
                <w:szCs w:val="28"/>
              </w:rPr>
            </w:pPr>
            <w:r>
              <w:rPr>
                <w:rFonts w:hint="eastAsia" w:ascii="仿宋_GB2312" w:eastAsia="仿宋_GB2312"/>
                <w:sz w:val="28"/>
                <w:szCs w:val="28"/>
              </w:rPr>
              <w:t>4</w:t>
            </w:r>
          </w:p>
        </w:tc>
        <w:tc>
          <w:tcPr>
            <w:tcW w:w="3009" w:type="dxa"/>
            <w:vAlign w:val="center"/>
          </w:tcPr>
          <w:p w14:paraId="049F8FF9">
            <w:pPr>
              <w:spacing w:line="600" w:lineRule="exact"/>
              <w:jc w:val="center"/>
              <w:rPr>
                <w:rFonts w:ascii="仿宋_GB2312" w:eastAsia="仿宋_GB2312"/>
                <w:sz w:val="28"/>
                <w:szCs w:val="28"/>
              </w:rPr>
            </w:pPr>
            <w:r>
              <w:rPr>
                <w:rFonts w:hint="eastAsia" w:ascii="仿宋_GB2312" w:eastAsia="仿宋_GB2312"/>
                <w:sz w:val="28"/>
                <w:szCs w:val="28"/>
              </w:rPr>
              <w:t>投资概算</w:t>
            </w:r>
          </w:p>
        </w:tc>
        <w:tc>
          <w:tcPr>
            <w:tcW w:w="2045" w:type="dxa"/>
            <w:vAlign w:val="center"/>
          </w:tcPr>
          <w:p w14:paraId="6CC09E90">
            <w:pPr>
              <w:spacing w:line="600" w:lineRule="exact"/>
              <w:jc w:val="center"/>
              <w:rPr>
                <w:rFonts w:ascii="仿宋_GB2312" w:eastAsia="仿宋_GB2312"/>
                <w:sz w:val="28"/>
                <w:szCs w:val="28"/>
              </w:rPr>
            </w:pPr>
            <w:r>
              <w:rPr>
                <w:rFonts w:hint="eastAsia" w:ascii="仿宋_GB2312" w:eastAsia="仿宋_GB2312"/>
                <w:sz w:val="28"/>
                <w:szCs w:val="28"/>
              </w:rPr>
              <w:t>1套</w:t>
            </w:r>
          </w:p>
        </w:tc>
        <w:tc>
          <w:tcPr>
            <w:tcW w:w="2458" w:type="dxa"/>
            <w:vAlign w:val="center"/>
          </w:tcPr>
          <w:p w14:paraId="1AFDF4B4">
            <w:pPr>
              <w:spacing w:line="600" w:lineRule="exact"/>
              <w:jc w:val="center"/>
              <w:rPr>
                <w:rFonts w:ascii="仿宋_GB2312" w:eastAsia="仿宋_GB2312"/>
                <w:sz w:val="28"/>
                <w:szCs w:val="28"/>
              </w:rPr>
            </w:pPr>
            <w:r>
              <w:rPr>
                <w:rFonts w:hint="eastAsia" w:ascii="仿宋_GB2312" w:eastAsia="仿宋_GB2312"/>
                <w:sz w:val="28"/>
                <w:szCs w:val="28"/>
              </w:rPr>
              <w:t>纸质版及电子版</w:t>
            </w:r>
          </w:p>
        </w:tc>
      </w:tr>
    </w:tbl>
    <w:p w14:paraId="60AE327A">
      <w:pPr>
        <w:rPr>
          <w:rFonts w:ascii="黑体" w:hAnsi="黑体" w:eastAsia="黑体" w:cs="黑体"/>
          <w:sz w:val="32"/>
          <w:szCs w:val="32"/>
        </w:rPr>
      </w:pPr>
      <w:r>
        <w:rPr>
          <w:rFonts w:hint="eastAsia" w:ascii="黑体" w:hAnsi="黑体" w:eastAsia="黑体" w:cs="黑体"/>
          <w:sz w:val="32"/>
          <w:szCs w:val="32"/>
        </w:rPr>
        <w:t>七、服务进度要求</w:t>
      </w:r>
    </w:p>
    <w:p w14:paraId="6E9B44DC">
      <w:pPr>
        <w:rPr>
          <w:rFonts w:hint="eastAsia" w:ascii="仿宋_GB2312" w:hAnsi="仿宋_GB2312" w:eastAsia="仿宋_GB2312" w:cs="仿宋_GB2312"/>
          <w:sz w:val="30"/>
          <w:szCs w:val="30"/>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一</w:t>
      </w:r>
      <w:r>
        <w:rPr>
          <w:rFonts w:hint="eastAsia" w:ascii="仿宋_GB2312" w:hAnsi="宋体" w:eastAsia="仿宋_GB2312" w:cs="宋体"/>
          <w:sz w:val="32"/>
          <w:szCs w:val="32"/>
          <w:lang w:eastAsia="zh-CN"/>
        </w:rPr>
        <w:t>）</w:t>
      </w:r>
      <w:r>
        <w:rPr>
          <w:rFonts w:hint="eastAsia" w:ascii="仿宋_GB2312" w:hAnsi="仿宋_GB2312" w:eastAsia="仿宋_GB2312" w:cs="仿宋_GB2312"/>
          <w:sz w:val="30"/>
          <w:szCs w:val="30"/>
        </w:rPr>
        <w:t>合同签订后10天内完成初步设计</w:t>
      </w:r>
      <w:r>
        <w:rPr>
          <w:rFonts w:hint="eastAsia" w:ascii="仿宋_GB2312" w:hAnsi="仿宋_GB2312" w:eastAsia="仿宋_GB2312" w:cs="仿宋_GB2312"/>
          <w:sz w:val="30"/>
          <w:szCs w:val="30"/>
          <w:lang w:val="en-US" w:eastAsia="zh-CN"/>
        </w:rPr>
        <w:t>方案</w:t>
      </w:r>
      <w:r>
        <w:rPr>
          <w:rFonts w:hint="eastAsia" w:ascii="仿宋_GB2312" w:hAnsi="仿宋_GB2312" w:eastAsia="仿宋_GB2312" w:cs="仿宋_GB2312"/>
          <w:sz w:val="30"/>
          <w:szCs w:val="30"/>
        </w:rPr>
        <w:t>、施工图编制</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工程量清单及投资概算，并在专家评审后5天内完成</w:t>
      </w:r>
      <w:r>
        <w:rPr>
          <w:rFonts w:hint="eastAsia" w:ascii="仿宋_GB2312" w:hAnsi="仿宋_GB2312" w:eastAsia="仿宋_GB2312" w:cs="仿宋_GB2312"/>
          <w:sz w:val="30"/>
          <w:szCs w:val="30"/>
          <w:lang w:val="en-US" w:eastAsia="zh-CN"/>
        </w:rPr>
        <w:t>修改</w:t>
      </w:r>
      <w:r>
        <w:rPr>
          <w:rFonts w:hint="eastAsia" w:ascii="仿宋_GB2312" w:hAnsi="仿宋_GB2312" w:eastAsia="仿宋_GB2312" w:cs="仿宋_GB2312"/>
          <w:sz w:val="30"/>
          <w:szCs w:val="30"/>
        </w:rPr>
        <w:t>。</w:t>
      </w:r>
    </w:p>
    <w:p w14:paraId="44445AA8">
      <w:pPr>
        <w:pStyle w:val="4"/>
        <w:adjustRightInd w:val="0"/>
        <w:snapToGrid w:val="0"/>
        <w:spacing w:line="600" w:lineRule="exact"/>
        <w:jc w:val="left"/>
        <w:rPr>
          <w:rFonts w:ascii="仿宋_GB2312" w:hAnsi="宋体" w:eastAsia="仿宋_GB2312" w:cs="宋体"/>
          <w:sz w:val="32"/>
          <w:szCs w:val="32"/>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二</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提供施工期间技术服务，参与验收，积极配合洽商、变更等事宜。</w:t>
      </w:r>
    </w:p>
    <w:p w14:paraId="54AF78EB">
      <w:pPr>
        <w:adjustRightInd w:val="0"/>
        <w:snapToGrid w:val="0"/>
        <w:spacing w:line="600" w:lineRule="exact"/>
        <w:jc w:val="left"/>
        <w:rPr>
          <w:rFonts w:ascii="黑体" w:hAnsi="黑体" w:eastAsia="黑体" w:cs="宋体"/>
          <w:bCs/>
          <w:kern w:val="44"/>
          <w:sz w:val="32"/>
          <w:szCs w:val="32"/>
        </w:rPr>
      </w:pPr>
      <w:r>
        <w:rPr>
          <w:rFonts w:hint="eastAsia" w:ascii="黑体" w:hAnsi="黑体" w:eastAsia="黑体" w:cs="宋体"/>
          <w:bCs/>
          <w:kern w:val="44"/>
          <w:sz w:val="32"/>
          <w:szCs w:val="32"/>
        </w:rPr>
        <w:t>八、项目区位示意图</w:t>
      </w:r>
    </w:p>
    <w:p w14:paraId="5AF87136">
      <w:pPr>
        <w:pStyle w:val="4"/>
        <w:adjustRightInd w:val="0"/>
        <w:snapToGrid w:val="0"/>
        <w:spacing w:line="600" w:lineRule="exact"/>
        <w:ind w:left="420" w:leftChars="200" w:firstLine="160" w:firstLineChars="50"/>
        <w:jc w:val="left"/>
        <w:rPr>
          <w:rFonts w:ascii="仿宋_GB2312" w:hAnsi="宋体" w:eastAsia="仿宋_GB2312" w:cs="宋体"/>
          <w:sz w:val="32"/>
          <w:szCs w:val="32"/>
        </w:rPr>
      </w:pPr>
      <w:r>
        <w:rPr>
          <w:rFonts w:hint="eastAsia" w:ascii="仿宋_GB2312" w:hAnsi="宋体" w:eastAsia="仿宋_GB2312" w:cs="宋体"/>
          <w:sz w:val="32"/>
          <w:szCs w:val="32"/>
        </w:rPr>
        <w:t>项目位置图</w:t>
      </w:r>
    </w:p>
    <w:p w14:paraId="0314A538">
      <w:pPr>
        <w:spacing w:line="560" w:lineRule="exact"/>
        <w:rPr>
          <w:rFonts w:cs="仿宋_GB2312" w:asciiTheme="minorEastAsia" w:hAnsiTheme="minorEastAsia"/>
          <w:sz w:val="24"/>
        </w:rPr>
      </w:pPr>
    </w:p>
    <w:p w14:paraId="3511E351">
      <w:pPr>
        <w:snapToGrid w:val="0"/>
        <w:spacing w:afterLines="50" w:line="360" w:lineRule="auto"/>
        <w:outlineLvl w:val="0"/>
        <w:rPr>
          <w:rFonts w:ascii="仿宋_GB2312" w:hAnsi="宋体" w:eastAsia="仿宋_GB2312" w:cs="宋体"/>
          <w:sz w:val="32"/>
          <w:szCs w:val="32"/>
        </w:rPr>
      </w:pPr>
      <w:r>
        <w:drawing>
          <wp:inline distT="0" distB="0" distL="114300" distR="114300">
            <wp:extent cx="5267325" cy="3292475"/>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7325" cy="3292475"/>
                    </a:xfrm>
                    <a:prstGeom prst="rect">
                      <a:avLst/>
                    </a:prstGeom>
                    <a:noFill/>
                    <a:ln>
                      <a:noFill/>
                    </a:ln>
                  </pic:spPr>
                </pic:pic>
              </a:graphicData>
            </a:graphic>
          </wp:inline>
        </w:drawing>
      </w:r>
    </w:p>
    <w:p w14:paraId="38D15D9C">
      <w:pPr>
        <w:pStyle w:val="4"/>
        <w:adjustRightInd w:val="0"/>
        <w:snapToGrid w:val="0"/>
        <w:spacing w:line="600" w:lineRule="exact"/>
        <w:ind w:left="420" w:left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rPr>
        <w:t>拟建机房位置图</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位于公司一楼中部</w:t>
      </w:r>
    </w:p>
    <w:p w14:paraId="7704F8AF">
      <w:pPr>
        <w:pStyle w:val="13"/>
        <w:rPr>
          <w:rFonts w:ascii="黑体" w:hAnsi="黑体" w:eastAsia="黑体" w:cs="黑体"/>
          <w:sz w:val="32"/>
          <w:szCs w:val="32"/>
        </w:rPr>
      </w:pPr>
      <w:r>
        <w:rPr>
          <w:rFonts w:hint="eastAsia" w:hAnsi="宋体" w:cs="宋体"/>
          <w:sz w:val="32"/>
          <w:szCs w:val="32"/>
        </w:rPr>
        <w:drawing>
          <wp:inline distT="0" distB="0" distL="114300" distR="114300">
            <wp:extent cx="5266690" cy="2443480"/>
            <wp:effectExtent l="0" t="0" r="3810" b="7620"/>
            <wp:docPr id="2" name="图片 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nap7"/>
                    <pic:cNvPicPr>
                      <a:picLocks noChangeAspect="1"/>
                    </pic:cNvPicPr>
                  </pic:nvPicPr>
                  <pic:blipFill>
                    <a:blip r:embed="rId6"/>
                    <a:stretch>
                      <a:fillRect/>
                    </a:stretch>
                  </pic:blipFill>
                  <pic:spPr>
                    <a:xfrm>
                      <a:off x="0" y="0"/>
                      <a:ext cx="5266690" cy="2443480"/>
                    </a:xfrm>
                    <a:prstGeom prst="rect">
                      <a:avLst/>
                    </a:prstGeom>
                  </pic:spPr>
                </pic:pic>
              </a:graphicData>
            </a:graphic>
          </wp:inline>
        </w:drawing>
      </w:r>
    </w:p>
    <w:p w14:paraId="7022B555">
      <w:pPr>
        <w:rPr>
          <w:rFonts w:ascii="黑体" w:hAnsi="黑体" w:eastAsia="黑体" w:cs="黑体"/>
          <w:sz w:val="32"/>
          <w:szCs w:val="32"/>
        </w:rPr>
      </w:pPr>
      <w:r>
        <w:rPr>
          <w:rFonts w:hint="eastAsia" w:ascii="黑体" w:hAnsi="黑体" w:eastAsia="黑体" w:cs="黑体"/>
          <w:sz w:val="32"/>
          <w:szCs w:val="32"/>
        </w:rPr>
        <w:t>九、招标流程</w:t>
      </w:r>
    </w:p>
    <w:p w14:paraId="1E4C4D2D">
      <w:pPr>
        <w:rPr>
          <w:rFonts w:ascii="仿宋_GB2312" w:hAnsi="仿宋_GB2312" w:eastAsia="仿宋_GB2312" w:cs="仿宋_GB2312"/>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一</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询价公告</w:t>
      </w:r>
    </w:p>
    <w:p w14:paraId="762D00F5">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询价公告将发布在单位官网，供符合条件的设计单位报名参与。</w:t>
      </w:r>
    </w:p>
    <w:p w14:paraId="1C19A562">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二</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响应文件提交</w:t>
      </w:r>
    </w:p>
    <w:p w14:paraId="306780B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设计单位需在规定时间内提交投标文件，内容包括：设计方案、公司资质、相关人员简历、业绩、报价等。</w:t>
      </w:r>
    </w:p>
    <w:p w14:paraId="0D7AD32C">
      <w:pPr>
        <w:rPr>
          <w:rFonts w:ascii="仿宋_GB2312" w:hAnsi="仿宋_GB2312" w:eastAsia="仿宋_GB2312" w:cs="仿宋_GB2312"/>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三</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评审与确定成交供应商</w:t>
      </w:r>
    </w:p>
    <w:p w14:paraId="0C79DFF2">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询价小组将对所有投标文件进行评审，综合考虑设计方案的合理性、创新性、公司资质及业绩等因素，按照有效最低价优先方式确定成交供应商（最低价相同时按抽签顺序确定）。</w:t>
      </w:r>
    </w:p>
    <w:p w14:paraId="0128FB28">
      <w:pP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lang w:val="en-US" w:eastAsia="zh-CN"/>
        </w:rPr>
        <w:t>四</w:t>
      </w:r>
      <w:r>
        <w:rPr>
          <w:rFonts w:hint="eastAsia" w:ascii="仿宋_GB2312" w:hAnsi="仿宋_GB2312" w:eastAsia="仿宋_GB2312" w:cs="仿宋_GB2312"/>
          <w:b/>
          <w:bCs/>
          <w:sz w:val="30"/>
          <w:szCs w:val="30"/>
          <w:lang w:eastAsia="zh-CN"/>
        </w:rPr>
        <w:t>）</w:t>
      </w:r>
      <w:r>
        <w:rPr>
          <w:rFonts w:hint="eastAsia" w:ascii="仿宋_GB2312" w:hAnsi="仿宋_GB2312" w:eastAsia="仿宋_GB2312" w:cs="仿宋_GB2312"/>
          <w:b/>
          <w:bCs/>
          <w:sz w:val="30"/>
          <w:szCs w:val="30"/>
        </w:rPr>
        <w:t>签订合同</w:t>
      </w:r>
    </w:p>
    <w:p w14:paraId="2ECAA794">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成交供应商与我单位签订正式合同，合同中包括具体设计要求、交付时间及费用等条款。</w:t>
      </w:r>
    </w:p>
    <w:p w14:paraId="23568B33">
      <w:pPr>
        <w:rPr>
          <w:rFonts w:ascii="黑体" w:hAnsi="黑体" w:eastAsia="黑体" w:cs="黑体"/>
          <w:sz w:val="32"/>
          <w:szCs w:val="32"/>
        </w:rPr>
      </w:pPr>
      <w:r>
        <w:rPr>
          <w:rFonts w:hint="eastAsia" w:ascii="黑体" w:hAnsi="黑体" w:eastAsia="黑体" w:cs="黑体"/>
          <w:sz w:val="32"/>
          <w:szCs w:val="32"/>
        </w:rPr>
        <w:t>十、潜在供应商提交的材料</w:t>
      </w:r>
    </w:p>
    <w:p w14:paraId="72D2B477">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公司资质与简介</w:t>
      </w:r>
    </w:p>
    <w:p w14:paraId="77BFBBA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设计方案初步概念</w:t>
      </w:r>
    </w:p>
    <w:p w14:paraId="726B05E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过往项目经验与业绩证明</w:t>
      </w:r>
    </w:p>
    <w:p w14:paraId="33EFC800">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设计团队的人员名单、社保证明及资质证书</w:t>
      </w:r>
    </w:p>
    <w:p w14:paraId="18E14A30">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报价单（详细列明设计费用及各项服务费用）</w:t>
      </w:r>
    </w:p>
    <w:p w14:paraId="19DFE8C3">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项目进度计划</w:t>
      </w:r>
    </w:p>
    <w:p w14:paraId="5ACD9168">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其他相关证明材料</w:t>
      </w:r>
    </w:p>
    <w:p w14:paraId="3DA7DAF3">
      <w:pPr>
        <w:pStyle w:val="2"/>
      </w:pPr>
      <w:r>
        <w:rPr>
          <w:rFonts w:hint="eastAsia"/>
        </w:rPr>
        <w:t>十一、验收要求</w:t>
      </w:r>
    </w:p>
    <w:p w14:paraId="7896BAB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设计完成后，由招标方组织专家评审、进行验收。</w:t>
      </w:r>
    </w:p>
    <w:p w14:paraId="367A2C7D">
      <w:pPr>
        <w:pStyle w:val="2"/>
      </w:pPr>
      <w:r>
        <w:rPr>
          <w:rFonts w:hint="eastAsia"/>
        </w:rPr>
        <w:t>十二、付款方式</w:t>
      </w:r>
    </w:p>
    <w:p w14:paraId="73A940F4">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施工图设计通过专家评审</w:t>
      </w:r>
      <w:r>
        <w:rPr>
          <w:rFonts w:hint="eastAsia" w:ascii="仿宋_GB2312" w:hAnsi="仿宋_GB2312" w:eastAsia="仿宋_GB2312" w:cs="仿宋_GB2312"/>
          <w:sz w:val="30"/>
          <w:szCs w:val="30"/>
          <w:lang w:val="en-US" w:eastAsia="zh-CN"/>
        </w:rPr>
        <w:t>并在修改</w:t>
      </w:r>
      <w:bookmarkStart w:id="2" w:name="_GoBack"/>
      <w:bookmarkEnd w:id="2"/>
      <w:r>
        <w:rPr>
          <w:rFonts w:hint="eastAsia" w:ascii="仿宋_GB2312" w:hAnsi="仿宋_GB2312" w:eastAsia="仿宋_GB2312" w:cs="仿宋_GB2312"/>
          <w:sz w:val="30"/>
          <w:szCs w:val="30"/>
          <w:lang w:val="en-US" w:eastAsia="zh-CN"/>
        </w:rPr>
        <w:t>提交</w:t>
      </w:r>
      <w:r>
        <w:rPr>
          <w:rFonts w:hint="eastAsia" w:ascii="仿宋_GB2312" w:hAnsi="仿宋_GB2312" w:eastAsia="仿宋_GB2312" w:cs="仿宋_GB2312"/>
          <w:sz w:val="30"/>
          <w:szCs w:val="30"/>
        </w:rPr>
        <w:t>后10个工作日内支付50%，机房竣工验收通过后10个工作日内支付余下的50%。</w:t>
      </w:r>
    </w:p>
    <w:p w14:paraId="2187FB66">
      <w:pPr>
        <w:rPr>
          <w:rFonts w:ascii="黑体" w:hAnsi="黑体" w:eastAsia="黑体" w:cs="黑体"/>
          <w:sz w:val="32"/>
          <w:szCs w:val="32"/>
        </w:rPr>
      </w:pPr>
      <w:r>
        <w:rPr>
          <w:rFonts w:hint="eastAsia" w:ascii="黑体" w:hAnsi="黑体" w:eastAsia="黑体" w:cs="黑体"/>
          <w:sz w:val="32"/>
          <w:szCs w:val="32"/>
        </w:rPr>
        <w:t>十三、联系方式</w:t>
      </w:r>
    </w:p>
    <w:p w14:paraId="2B2F3256">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如有任何疑问，请及时与我单位联系：</w:t>
      </w:r>
    </w:p>
    <w:p w14:paraId="0319B79F">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联系人：丁先生</w:t>
      </w:r>
    </w:p>
    <w:p w14:paraId="4D5AC7F9">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联系电话：0551-62629092</w:t>
      </w:r>
    </w:p>
    <w:p w14:paraId="15D9B3F5">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电子邮件：1141519630@qq.com</w:t>
      </w:r>
    </w:p>
    <w:p w14:paraId="7958CC3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地址：合肥市测绘大厦 阜南路136号</w:t>
      </w:r>
    </w:p>
    <w:p w14:paraId="30E9B56B">
      <w:pPr>
        <w:rPr>
          <w:rFonts w:ascii="黑体" w:hAnsi="黑体" w:eastAsia="黑体" w:cs="黑体"/>
          <w:sz w:val="32"/>
          <w:szCs w:val="32"/>
        </w:rPr>
      </w:pPr>
      <w:r>
        <w:rPr>
          <w:rFonts w:hint="eastAsia" w:ascii="黑体" w:hAnsi="黑体" w:eastAsia="黑体" w:cs="黑体"/>
          <w:sz w:val="32"/>
          <w:szCs w:val="32"/>
        </w:rPr>
        <w:t>十四、其他说明</w:t>
      </w:r>
    </w:p>
    <w:p w14:paraId="3BAF3C7C">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供应商应确保所提供的所有资料真实准确，若存在虚假或隐瞒重要信息，将取消其投标资格。</w:t>
      </w:r>
    </w:p>
    <w:p w14:paraId="3745118D">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本询价文件的最终解释权归我单位所有。</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53B32">
    <w:pPr>
      <w:pStyle w:val="6"/>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18A6C9AB">
                <w:pPr>
                  <w:pStyle w:val="6"/>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701CB"/>
    <w:multiLevelType w:val="singleLevel"/>
    <w:tmpl w:val="B0C701C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1B7C5483"/>
    <w:rsid w:val="0018136F"/>
    <w:rsid w:val="001D11CB"/>
    <w:rsid w:val="00304A61"/>
    <w:rsid w:val="00590F17"/>
    <w:rsid w:val="0069646F"/>
    <w:rsid w:val="007A6D21"/>
    <w:rsid w:val="008D24AC"/>
    <w:rsid w:val="00B9377A"/>
    <w:rsid w:val="00ED1A78"/>
    <w:rsid w:val="0571361C"/>
    <w:rsid w:val="15C06409"/>
    <w:rsid w:val="1B7C5483"/>
    <w:rsid w:val="1FA84182"/>
    <w:rsid w:val="29C64E7F"/>
    <w:rsid w:val="2B313F7E"/>
    <w:rsid w:val="37FA4D27"/>
    <w:rsid w:val="410503ED"/>
    <w:rsid w:val="552D60C5"/>
    <w:rsid w:val="55875914"/>
    <w:rsid w:val="5E32763B"/>
    <w:rsid w:val="65F87CBF"/>
    <w:rsid w:val="67D56B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1"/>
    <w:qFormat/>
    <w:uiPriority w:val="0"/>
    <w:pPr>
      <w:spacing w:line="360" w:lineRule="auto"/>
    </w:pPr>
    <w:rPr>
      <w:sz w:val="24"/>
      <w:szCs w:val="20"/>
    </w:rPr>
  </w:style>
  <w:style w:type="paragraph" w:styleId="5">
    <w:name w:val="Balloon Text"/>
    <w:basedOn w:val="1"/>
    <w:link w:val="14"/>
    <w:uiPriority w:val="0"/>
    <w:rPr>
      <w:sz w:val="18"/>
      <w:szCs w:val="18"/>
    </w:rPr>
  </w:style>
  <w:style w:type="paragraph" w:styleId="6">
    <w:name w:val="footer"/>
    <w:basedOn w:val="1"/>
    <w:link w:val="12"/>
    <w:qFormat/>
    <w:uiPriority w:val="0"/>
    <w:pPr>
      <w:tabs>
        <w:tab w:val="center" w:pos="4153"/>
        <w:tab w:val="right" w:pos="8306"/>
      </w:tabs>
      <w:snapToGrid w:val="0"/>
      <w:jc w:val="left"/>
    </w:pPr>
    <w:rPr>
      <w:sz w:val="18"/>
      <w:szCs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10">
    <w:name w:val="annotation reference"/>
    <w:basedOn w:val="9"/>
    <w:qFormat/>
    <w:uiPriority w:val="0"/>
    <w:rPr>
      <w:sz w:val="21"/>
      <w:szCs w:val="21"/>
    </w:rPr>
  </w:style>
  <w:style w:type="character" w:customStyle="1" w:styleId="11">
    <w:name w:val="页眉 Char"/>
    <w:basedOn w:val="9"/>
    <w:link w:val="7"/>
    <w:qFormat/>
    <w:uiPriority w:val="0"/>
    <w:rPr>
      <w:rFonts w:asciiTheme="minorHAnsi" w:hAnsiTheme="minorHAnsi" w:eastAsiaTheme="minorEastAsia" w:cstheme="minorBidi"/>
      <w:kern w:val="2"/>
      <w:sz w:val="18"/>
      <w:szCs w:val="18"/>
    </w:rPr>
  </w:style>
  <w:style w:type="character" w:customStyle="1" w:styleId="12">
    <w:name w:val="页脚 Char"/>
    <w:basedOn w:val="9"/>
    <w:link w:val="6"/>
    <w:qFormat/>
    <w:uiPriority w:val="0"/>
    <w:rPr>
      <w:rFonts w:asciiTheme="minorHAnsi" w:hAnsiTheme="minorHAnsi" w:eastAsiaTheme="minorEastAsia" w:cstheme="minorBidi"/>
      <w:kern w:val="2"/>
      <w:sz w:val="18"/>
      <w:szCs w:val="18"/>
    </w:rPr>
  </w:style>
  <w:style w:type="paragraph" w:customStyle="1" w:styleId="1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4">
    <w:name w:val="批注框文本 Char"/>
    <w:basedOn w:val="9"/>
    <w:link w:val="5"/>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2694</Words>
  <Characters>2747</Characters>
  <Lines>20</Lines>
  <Paragraphs>5</Paragraphs>
  <TotalTime>6</TotalTime>
  <ScaleCrop>false</ScaleCrop>
  <LinksUpToDate>false</LinksUpToDate>
  <CharactersWithSpaces>2758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2025-03-25T04:47:00Z</dcterms:created>
  <dc:creator>龙潜深渊</dc:creator>
  <cp:lastModifiedBy>龙潜深渊</cp:lastModifiedBy>
  <cp:lastPrinted>2025-03-27T08:44:00Z</cp:lastPrinted>
  <dcterms:modified xsi:type="dcterms:W3CDTF">2025-03-27T09:59:29Z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0AF8CE3291734BDA8D2E60CCF80E1B61_11</vt:lpwstr>
  </property>
  <property fmtid="{D5CDD505-2E9C-101B-9397-08002B2CF9AE}" pid="4" name="KSOTemplateDocerSaveRecord">
    <vt:lpwstr>eyJoZGlkIjoiMTRmMTE5ZTAyYzA5YTE1NmY3YmVlY2RhNDJkNGU0OGQiLCJ1c2VySWQiOiI0MDk1MjE2NzQifQ==</vt:lpwstr>
  </property>
</Properties>
</file>